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356"/>
          <w:tab w:val="right" w:pos="10206"/>
        </w:tabs>
        <w:overflowPunct w:val="0"/>
        <w:autoSpaceDE w:val="0"/>
        <w:autoSpaceDN w:val="0"/>
        <w:adjustRightInd w:val="0"/>
        <w:spacing w:after="0"/>
        <w:textAlignment w:val="baseline"/>
        <w:rPr>
          <w:rFonts w:hint="default" w:ascii="Arial" w:hAnsi="Arial" w:cs="Arial"/>
          <w:b/>
          <w:bCs/>
          <w:sz w:val="24"/>
          <w:szCs w:val="24"/>
          <w:lang w:val="sv-SE" w:eastAsia="ja-JP"/>
        </w:rPr>
      </w:pPr>
      <w:r>
        <w:rPr>
          <w:rFonts w:ascii="Arial" w:hAnsi="Arial" w:cs="Arial"/>
          <w:b/>
          <w:bCs/>
          <w:sz w:val="24"/>
          <w:szCs w:val="24"/>
          <w:lang w:val="en-US" w:eastAsia="ja-JP"/>
        </w:rPr>
        <w:t xml:space="preserve">3GPP TSG-RAN WG4 Meeting # 112 </w:t>
      </w:r>
      <w:r>
        <w:rPr>
          <w:lang w:val="en-US"/>
        </w:rPr>
        <w:tab/>
      </w:r>
      <w:r>
        <w:rPr>
          <w:rFonts w:ascii="Arial" w:hAnsi="Arial" w:cs="Arial"/>
          <w:b/>
          <w:bCs/>
          <w:sz w:val="24"/>
          <w:szCs w:val="24"/>
          <w:lang w:val="en-US" w:eastAsia="ja-JP"/>
        </w:rPr>
        <w:t xml:space="preserve">    R4-</w:t>
      </w:r>
      <w:bookmarkStart w:id="0" w:name="_GoBack"/>
      <w:r>
        <w:rPr>
          <w:rFonts w:ascii="Arial" w:hAnsi="Arial" w:cs="Arial"/>
          <w:b/>
          <w:bCs/>
          <w:sz w:val="24"/>
          <w:szCs w:val="24"/>
          <w:highlight w:val="none"/>
          <w:lang w:val="en-US" w:eastAsia="ja-JP"/>
        </w:rPr>
        <w:t>24</w:t>
      </w:r>
      <w:r>
        <w:rPr>
          <w:rFonts w:hint="default" w:ascii="Arial" w:hAnsi="Arial" w:cs="Arial"/>
          <w:b/>
          <w:bCs/>
          <w:sz w:val="24"/>
          <w:szCs w:val="24"/>
          <w:highlight w:val="none"/>
          <w:lang w:val="sv-SE" w:eastAsia="ja-JP"/>
        </w:rPr>
        <w:t>12693</w:t>
      </w:r>
      <w:bookmarkEnd w:id="0"/>
    </w:p>
    <w:p>
      <w:pPr>
        <w:widowControl w:val="0"/>
        <w:tabs>
          <w:tab w:val="right" w:pos="9356"/>
          <w:tab w:val="right" w:pos="10206"/>
        </w:tabs>
        <w:overflowPunct w:val="0"/>
        <w:autoSpaceDE w:val="0"/>
        <w:autoSpaceDN w:val="0"/>
        <w:adjustRightInd w:val="0"/>
        <w:spacing w:after="0"/>
        <w:textAlignment w:val="baseline"/>
        <w:rPr>
          <w:rFonts w:ascii="Arial" w:hAnsi="Arial" w:cs="Arial"/>
          <w:b/>
          <w:sz w:val="24"/>
          <w:highlight w:val="yellow"/>
          <w:lang w:val="en-US" w:eastAsia="ja-JP"/>
        </w:rPr>
      </w:pPr>
      <w:r>
        <w:rPr>
          <w:rFonts w:ascii="Arial" w:hAnsi="Arial" w:cs="Arial"/>
          <w:b/>
          <w:bCs/>
          <w:sz w:val="24"/>
          <w:szCs w:val="24"/>
          <w:lang w:val="en-US" w:eastAsia="ja-JP"/>
        </w:rPr>
        <w:t>Maastricht, NL, 19 - 23 2024</w:t>
      </w:r>
    </w:p>
    <w:p>
      <w:pPr>
        <w:tabs>
          <w:tab w:val="left" w:pos="1985"/>
        </w:tabs>
        <w:spacing w:after="120"/>
        <w:rPr>
          <w:rFonts w:ascii="Arial" w:hAnsi="Arial" w:eastAsia="MS Mincho" w:cs="Arial"/>
          <w:b/>
          <w:bCs/>
          <w:sz w:val="24"/>
          <w:highlight w:val="yellow"/>
          <w:lang w:val="en-US"/>
        </w:rPr>
      </w:pP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Agenda Item:</w:t>
      </w:r>
      <w:r>
        <w:rPr>
          <w:rFonts w:ascii="Arial" w:hAnsi="Arial" w:eastAsia="MS Mincho" w:cs="Arial"/>
          <w:b/>
          <w:bCs/>
          <w:sz w:val="24"/>
          <w:lang w:val="en-US"/>
        </w:rPr>
        <w:tab/>
      </w:r>
      <w:r>
        <w:rPr>
          <w:rFonts w:ascii="Arial" w:hAnsi="Arial" w:eastAsia="MS Mincho" w:cs="Arial"/>
          <w:b/>
          <w:bCs/>
          <w:sz w:val="24"/>
          <w:lang w:val="en-US"/>
        </w:rPr>
        <w:t>6.1.2.6</w:t>
      </w: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 xml:space="preserve">Source: </w:t>
      </w:r>
      <w:r>
        <w:rPr>
          <w:rFonts w:ascii="Arial" w:hAnsi="Arial" w:eastAsia="MS Mincho" w:cs="Arial"/>
          <w:b/>
          <w:bCs/>
          <w:sz w:val="24"/>
          <w:lang w:val="en-US"/>
        </w:rPr>
        <w:tab/>
      </w:r>
      <w:r>
        <w:rPr>
          <w:rFonts w:ascii="Arial" w:hAnsi="Arial" w:eastAsia="MS Mincho" w:cs="Arial"/>
          <w:b/>
          <w:bCs/>
          <w:sz w:val="24"/>
          <w:lang w:val="en-US"/>
        </w:rPr>
        <w:t>Ericsson</w:t>
      </w:r>
    </w:p>
    <w:p>
      <w:pPr>
        <w:tabs>
          <w:tab w:val="left" w:pos="1985"/>
        </w:tabs>
        <w:spacing w:after="120"/>
        <w:ind w:left="1980" w:hanging="1980"/>
        <w:rPr>
          <w:rFonts w:hint="default" w:ascii="Arial" w:hAnsi="Arial" w:eastAsia="MS Mincho" w:cs="Arial"/>
          <w:b/>
          <w:bCs/>
          <w:sz w:val="24"/>
          <w:szCs w:val="24"/>
          <w:lang w:val="sv-SE"/>
        </w:rPr>
      </w:pPr>
      <w:r>
        <w:rPr>
          <w:rFonts w:ascii="Arial" w:hAnsi="Arial" w:eastAsia="MS Mincho" w:cs="Arial"/>
          <w:b/>
          <w:bCs/>
          <w:sz w:val="24"/>
          <w:szCs w:val="24"/>
          <w:lang w:val="en-US"/>
        </w:rPr>
        <w:t>Title:</w:t>
      </w:r>
      <w:r>
        <w:rPr>
          <w:lang w:val="en-US"/>
        </w:rPr>
        <w:tab/>
      </w:r>
      <w:r>
        <w:rPr>
          <w:rFonts w:ascii="Arial" w:hAnsi="Arial" w:eastAsia="MS Mincho" w:cs="Arial"/>
          <w:b/>
          <w:bCs/>
          <w:sz w:val="24"/>
          <w:szCs w:val="24"/>
          <w:lang w:val="en-US"/>
        </w:rPr>
        <w:t>On performance requirement</w:t>
      </w:r>
      <w:r>
        <w:rPr>
          <w:rFonts w:hint="default" w:ascii="Arial" w:hAnsi="Arial" w:eastAsia="MS Mincho" w:cs="Arial"/>
          <w:b/>
          <w:bCs/>
          <w:sz w:val="24"/>
          <w:szCs w:val="24"/>
          <w:lang w:val="sv-SE"/>
        </w:rPr>
        <w:t xml:space="preserve"> for CPP</w:t>
      </w:r>
    </w:p>
    <w:p>
      <w:pPr>
        <w:tabs>
          <w:tab w:val="left" w:pos="1985"/>
        </w:tabs>
        <w:spacing w:after="120"/>
        <w:rPr>
          <w:rFonts w:ascii="Arial" w:hAnsi="Arial" w:eastAsia="MS Mincho" w:cs="Arial"/>
          <w:b/>
          <w:bCs/>
          <w:sz w:val="24"/>
          <w:lang w:val="en-US"/>
        </w:rPr>
      </w:pPr>
      <w:r>
        <w:rPr>
          <w:rFonts w:ascii="Arial" w:hAnsi="Arial" w:eastAsia="MS Mincho" w:cs="Arial"/>
          <w:b/>
          <w:bCs/>
          <w:sz w:val="24"/>
          <w:lang w:val="en-US"/>
        </w:rPr>
        <w:t>Document for:</w:t>
      </w:r>
      <w:r>
        <w:rPr>
          <w:rFonts w:ascii="Arial" w:hAnsi="Arial" w:eastAsia="MS Mincho" w:cs="Arial"/>
          <w:b/>
          <w:bCs/>
          <w:sz w:val="24"/>
          <w:lang w:val="en-US"/>
        </w:rPr>
        <w:tab/>
      </w:r>
      <w:r>
        <w:rPr>
          <w:rFonts w:ascii="Arial" w:hAnsi="Arial" w:eastAsia="MS Mincho" w:cs="Arial"/>
          <w:b/>
          <w:bCs/>
          <w:sz w:val="24"/>
          <w:lang w:val="en-US"/>
        </w:rPr>
        <w:t>Approval</w:t>
      </w:r>
    </w:p>
    <w:p>
      <w:pPr>
        <w:pStyle w:val="2"/>
        <w:rPr>
          <w:lang w:val="en-US"/>
        </w:rPr>
      </w:pPr>
      <w:r>
        <w:rPr>
          <w:lang w:val="en-US"/>
        </w:rPr>
        <w:t>Introduction</w:t>
      </w:r>
    </w:p>
    <w:p>
      <w:pPr>
        <w:rPr>
          <w:lang w:val="en-US" w:eastAsia="zh-CN"/>
        </w:rPr>
      </w:pPr>
      <w:r>
        <w:rPr>
          <w:lang w:val="en-US" w:eastAsia="zh-CN"/>
        </w:rPr>
        <w:t xml:space="preserve">RAN4#111 discussed the issues related to performance requirements for CPP measurements. The agreements reached and the open issues identified are listed in the WF document [1]. </w:t>
      </w:r>
    </w:p>
    <w:p>
      <w:pPr>
        <w:pStyle w:val="2"/>
        <w:rPr>
          <w:lang w:val="en-US"/>
        </w:rPr>
      </w:pPr>
      <w:r>
        <w:rPr>
          <w:lang w:val="en-US"/>
        </w:rPr>
        <w:t>Discussion</w:t>
      </w:r>
    </w:p>
    <w:p>
      <w:pPr>
        <w:rPr>
          <w:lang w:val="en-US"/>
        </w:rPr>
      </w:pPr>
      <w:r>
        <w:rPr>
          <w:lang w:val="en-US"/>
        </w:rPr>
        <w:t>One of the issues discussed in the last meeting was the impact of carrier frequency offset on the accuracy of CPP measurements. The discussion concluded by identifying the following FFS items.</w:t>
      </w:r>
    </w:p>
    <w:p>
      <w:pPr>
        <w:spacing w:after="120"/>
        <w:rPr>
          <w:i/>
          <w:iCs/>
          <w:szCs w:val="24"/>
          <w:lang w:val="en-US" w:eastAsia="zh-CN"/>
        </w:rPr>
      </w:pPr>
      <w:r>
        <w:rPr>
          <w:b/>
          <w:bCs/>
          <w:i/>
          <w:iCs/>
          <w:szCs w:val="24"/>
          <w:u w:val="single"/>
          <w:lang w:val="en-US" w:eastAsia="zh-CN"/>
        </w:rPr>
        <w:t>Proposals</w:t>
      </w:r>
      <w:r>
        <w:rPr>
          <w:i/>
          <w:iCs/>
          <w:szCs w:val="24"/>
          <w:lang w:val="en-US" w:eastAsia="zh-CN"/>
        </w:rPr>
        <w:t xml:space="preserve">: </w:t>
      </w:r>
    </w:p>
    <w:p>
      <w:pPr>
        <w:pStyle w:val="48"/>
        <w:numPr>
          <w:ilvl w:val="0"/>
          <w:numId w:val="4"/>
        </w:numPr>
        <w:spacing w:after="120"/>
        <w:rPr>
          <w:i/>
          <w:iCs/>
          <w:szCs w:val="24"/>
          <w:lang w:val="en-US"/>
        </w:rPr>
      </w:pPr>
      <w:r>
        <w:rPr>
          <w:i/>
          <w:iCs/>
          <w:szCs w:val="24"/>
          <w:lang w:val="en-US"/>
        </w:rPr>
        <w:t xml:space="preserve">Option 1: </w:t>
      </w:r>
    </w:p>
    <w:p>
      <w:pPr>
        <w:pStyle w:val="48"/>
        <w:numPr>
          <w:ilvl w:val="1"/>
          <w:numId w:val="4"/>
        </w:numPr>
        <w:spacing w:after="120"/>
        <w:rPr>
          <w:i/>
          <w:iCs/>
          <w:szCs w:val="24"/>
          <w:lang w:val="en-US"/>
        </w:rPr>
      </w:pPr>
      <w:r>
        <w:rPr>
          <w:i/>
          <w:iCs/>
          <w:szCs w:val="24"/>
          <w:lang w:val="en-US"/>
        </w:rPr>
        <w:t xml:space="preserve">The accuracy requirements for CP measurement apply provided that the two PRS resources for calculating RSCPD or relative RSCP are located in the same set of symbols after accounting for expected RSTD. </w:t>
      </w:r>
    </w:p>
    <w:p>
      <w:pPr>
        <w:pStyle w:val="48"/>
        <w:numPr>
          <w:ilvl w:val="0"/>
          <w:numId w:val="4"/>
        </w:numPr>
        <w:spacing w:after="120"/>
        <w:rPr>
          <w:i/>
          <w:iCs/>
          <w:szCs w:val="24"/>
          <w:lang w:val="en-US"/>
        </w:rPr>
      </w:pPr>
      <w:r>
        <w:rPr>
          <w:i/>
          <w:iCs/>
          <w:szCs w:val="24"/>
          <w:lang w:val="en-US"/>
        </w:rPr>
        <w:t>Option 2:</w:t>
      </w:r>
    </w:p>
    <w:p>
      <w:pPr>
        <w:pStyle w:val="48"/>
        <w:numPr>
          <w:ilvl w:val="1"/>
          <w:numId w:val="4"/>
        </w:numPr>
        <w:spacing w:after="120"/>
        <w:rPr>
          <w:i/>
          <w:iCs/>
          <w:szCs w:val="24"/>
          <w:lang w:val="en-US"/>
        </w:rPr>
      </w:pPr>
      <w:r>
        <w:rPr>
          <w:i/>
          <w:iCs/>
          <w:szCs w:val="24"/>
          <w:lang w:val="en-US"/>
        </w:rPr>
        <w:t>The carrier phase definition should be clarified to indicate the carrier phase is defined at a specific location within the slot.</w:t>
      </w:r>
    </w:p>
    <w:p>
      <w:pPr>
        <w:pStyle w:val="48"/>
        <w:numPr>
          <w:ilvl w:val="1"/>
          <w:numId w:val="4"/>
        </w:numPr>
        <w:spacing w:after="120"/>
        <w:rPr>
          <w:i/>
          <w:iCs/>
          <w:szCs w:val="24"/>
          <w:lang w:val="en-US"/>
        </w:rPr>
      </w:pPr>
      <w:r>
        <w:rPr>
          <w:i/>
          <w:iCs/>
          <w:szCs w:val="24"/>
          <w:lang w:val="en-US"/>
        </w:rPr>
        <w:t>Define a common reference time and refer the DL-PRS carrier phase measurements to this reference time by subtracting the phase rotation due to the carrier frequency offset in the time interval between the DL-PRS and the reference time for the carrier phase measurement.</w:t>
      </w:r>
    </w:p>
    <w:p>
      <w:pPr>
        <w:pStyle w:val="48"/>
        <w:numPr>
          <w:ilvl w:val="1"/>
          <w:numId w:val="4"/>
        </w:numPr>
        <w:spacing w:after="120"/>
        <w:rPr>
          <w:i/>
          <w:iCs/>
          <w:szCs w:val="24"/>
          <w:lang w:val="en-US"/>
        </w:rPr>
      </w:pPr>
      <w:r>
        <w:rPr>
          <w:i/>
          <w:iCs/>
          <w:szCs w:val="24"/>
          <w:lang w:val="en-US"/>
        </w:rPr>
        <w:t xml:space="preserve">Define the referred carrier phase difference as the difference between the referred carrier phase measurements.  </w:t>
      </w:r>
    </w:p>
    <w:p>
      <w:pPr>
        <w:pStyle w:val="48"/>
        <w:numPr>
          <w:ilvl w:val="1"/>
          <w:numId w:val="4"/>
        </w:numPr>
        <w:spacing w:after="120"/>
        <w:rPr>
          <w:i/>
          <w:iCs/>
          <w:szCs w:val="24"/>
          <w:lang w:val="en-US"/>
        </w:rPr>
      </w:pPr>
      <w:r>
        <w:rPr>
          <w:i/>
          <w:iCs/>
          <w:szCs w:val="24"/>
          <w:lang w:val="en-US"/>
        </w:rPr>
        <w:t>Define the same common reference time for the UE and the PRU.</w:t>
      </w:r>
    </w:p>
    <w:p>
      <w:pPr>
        <w:pStyle w:val="48"/>
        <w:numPr>
          <w:ilvl w:val="1"/>
          <w:numId w:val="4"/>
        </w:numPr>
        <w:spacing w:after="120"/>
        <w:rPr>
          <w:i/>
          <w:iCs/>
          <w:szCs w:val="24"/>
          <w:lang w:val="en-US"/>
        </w:rPr>
      </w:pPr>
      <w:r>
        <w:rPr>
          <w:i/>
          <w:iCs/>
          <w:szCs w:val="24"/>
          <w:lang w:val="en-US"/>
        </w:rPr>
        <w:t xml:space="preserve">The UE and the PRU report either the referred carrier phase measurements or the carrier phase difference measurements computed using the referred carrier phase measurements. </w:t>
      </w:r>
    </w:p>
    <w:p>
      <w:pPr>
        <w:pStyle w:val="48"/>
        <w:numPr>
          <w:ilvl w:val="0"/>
          <w:numId w:val="4"/>
        </w:numPr>
        <w:spacing w:after="120"/>
        <w:rPr>
          <w:i/>
          <w:iCs/>
          <w:szCs w:val="24"/>
          <w:lang w:val="en-US"/>
        </w:rPr>
      </w:pPr>
      <w:r>
        <w:rPr>
          <w:i/>
          <w:iCs/>
          <w:szCs w:val="24"/>
          <w:lang w:val="en-US"/>
        </w:rPr>
        <w:t xml:space="preserve">Option 3: </w:t>
      </w:r>
    </w:p>
    <w:p>
      <w:pPr>
        <w:pStyle w:val="48"/>
        <w:numPr>
          <w:ilvl w:val="1"/>
          <w:numId w:val="4"/>
        </w:numPr>
        <w:spacing w:after="120"/>
        <w:rPr>
          <w:i/>
          <w:iCs/>
          <w:szCs w:val="24"/>
          <w:lang w:val="en-US"/>
        </w:rPr>
      </w:pPr>
      <w:r>
        <w:rPr>
          <w:i/>
          <w:iCs/>
          <w:szCs w:val="24"/>
          <w:lang w:val="en-US"/>
        </w:rPr>
        <w:t xml:space="preserve">RAN4 not to define enhancements to mitigate impact of carrier frequency offset on CPP measurements in Rel-18. </w:t>
      </w:r>
    </w:p>
    <w:p>
      <w:pPr>
        <w:pStyle w:val="48"/>
        <w:numPr>
          <w:ilvl w:val="1"/>
          <w:numId w:val="4"/>
        </w:numPr>
        <w:spacing w:after="120"/>
        <w:rPr>
          <w:i/>
          <w:iCs/>
          <w:szCs w:val="24"/>
          <w:lang w:val="en-US"/>
        </w:rPr>
      </w:pPr>
      <w:r>
        <w:rPr>
          <w:i/>
          <w:iCs/>
          <w:szCs w:val="24"/>
          <w:lang w:val="en-US"/>
        </w:rPr>
        <w:t>RAN4 to define an applicability condition for DL RSCPD accuracy requirements based on the time proximity between the target and reference PRS resources used to calculate the DL RSCPD measurement.</w:t>
      </w:r>
    </w:p>
    <w:p>
      <w:pPr>
        <w:pStyle w:val="48"/>
        <w:numPr>
          <w:ilvl w:val="1"/>
          <w:numId w:val="4"/>
        </w:numPr>
        <w:spacing w:before="120" w:beforeLines="50" w:after="120" w:afterLines="50"/>
        <w:rPr>
          <w:lang w:val="en-US"/>
        </w:rPr>
      </w:pPr>
      <w:r>
        <w:rPr>
          <w:i/>
          <w:iCs/>
          <w:szCs w:val="24"/>
          <w:lang w:val="en-US"/>
        </w:rPr>
        <w:t xml:space="preserve">DL RSCPD accuracy requirements are defined and apply when the target and reference PRS resources are measured in the same time slot. FFS the maximum time separation between the resources within a slot. </w:t>
      </w:r>
    </w:p>
    <w:p>
      <w:pPr>
        <w:pStyle w:val="48"/>
        <w:numPr>
          <w:ilvl w:val="1"/>
          <w:numId w:val="4"/>
        </w:numPr>
        <w:spacing w:before="120" w:beforeLines="50" w:after="120" w:afterLines="50"/>
        <w:rPr>
          <w:lang w:val="en-US"/>
        </w:rPr>
      </w:pPr>
      <w:r>
        <w:rPr>
          <w:i/>
          <w:iCs/>
          <w:szCs w:val="24"/>
          <w:lang w:val="en-US"/>
        </w:rPr>
        <w:t>RSCPD accuracy derived from RAN4 simulations applies assuming zero carrier frequency error at the UE and TRPs</w:t>
      </w:r>
      <w:r>
        <w:rPr>
          <w:szCs w:val="24"/>
          <w:lang w:val="en-US"/>
        </w:rPr>
        <w:t>.</w:t>
      </w:r>
      <w:r>
        <w:rPr>
          <w:szCs w:val="24"/>
          <w:lang w:val="en-US"/>
        </w:rPr>
        <w:br w:type="textWrapping"/>
      </w:r>
    </w:p>
    <w:p>
      <w:pPr>
        <w:pStyle w:val="48"/>
        <w:numPr>
          <w:ilvl w:val="1"/>
          <w:numId w:val="0"/>
        </w:numPr>
        <w:spacing w:before="120" w:beforeLines="50" w:after="120" w:afterLines="50"/>
        <w:rPr>
          <w:lang w:val="en-US"/>
        </w:rPr>
      </w:pPr>
      <w:r>
        <w:rPr>
          <w:lang w:val="en-US"/>
        </w:rPr>
        <w:t>To perform decently accurate RSCPD or relative RSCP measurements, it is prevalent that the carrier phase measurements are performed by the UE on PRS resources from the reference TRP and the target TRP that are closer to each other in time. The proximity in time domain is to ensure that the measurements used to estimate RSPD or relative RSCP measurements performed by UE are not severely impacted by the drift of the oscillator between the measurements. From the CPP measurement accuracy requirement point of view, an applicability condition may therefore need to be defined to clarify that the RSCPD accuracy requirement and the relative RSCP accuracy requirements apply given that the carrier phase measurements for these measurements are performed by UE on PRS resources within a slot.</w:t>
      </w:r>
    </w:p>
    <w:p>
      <w:pPr>
        <w:pStyle w:val="48"/>
        <w:numPr>
          <w:ilvl w:val="1"/>
          <w:numId w:val="0"/>
        </w:numPr>
        <w:spacing w:before="120" w:beforeLines="50" w:after="120" w:afterLines="50"/>
        <w:rPr>
          <w:lang w:val="en-US"/>
        </w:rPr>
      </w:pPr>
    </w:p>
    <w:p>
      <w:pPr>
        <w:pStyle w:val="56"/>
        <w:rPr>
          <w:lang w:val="en-US"/>
        </w:rPr>
      </w:pPr>
      <w:r>
        <w:rPr>
          <w:lang w:val="en-US"/>
        </w:rPr>
        <w:t>RAN4 to clarify that the RSCPD accuracy requirement and the relative RSCP accuracy requirement apply given that the carrier phase measurements are performed by the UE on PRS resources within a slot.</w:t>
      </w:r>
    </w:p>
    <w:p>
      <w:pPr>
        <w:spacing w:before="120" w:beforeLines="50" w:after="120" w:afterLines="50"/>
        <w:rPr>
          <w:lang w:val="en-US" w:eastAsia="zh-CN"/>
        </w:rPr>
      </w:pPr>
      <w:r>
        <w:rPr>
          <w:lang w:val="en-US" w:eastAsia="zh-CN"/>
        </w:rPr>
        <w:br w:type="textWrapping"/>
      </w:r>
      <w:r>
        <w:rPr>
          <w:lang w:val="en-US" w:eastAsia="zh-CN"/>
        </w:rPr>
        <w:t>The other issue that was discussed in the last meeting was a need of additional margin for the accuracy requirement of the carrier phase measurements. Few options relating to this issue that were brought up for discussion were:</w:t>
      </w:r>
      <w:r>
        <w:rPr>
          <w:lang w:val="en-US" w:eastAsia="zh-CN"/>
        </w:rPr>
        <w:br w:type="textWrapping"/>
      </w:r>
      <w:r>
        <w:rPr>
          <w:lang w:val="en-US" w:eastAsia="zh-CN"/>
        </w:rPr>
        <w:t xml:space="preserve"> </w:t>
      </w:r>
    </w:p>
    <w:p>
      <w:pPr>
        <w:spacing w:before="120" w:beforeLines="50" w:after="120" w:afterLines="50"/>
        <w:rPr>
          <w:rFonts w:hint="eastAsia" w:ascii="Times New Roman Italic" w:hAnsi="Times New Roman Italic" w:cs="Times New Roman Italic"/>
          <w:i/>
          <w:iCs/>
          <w:szCs w:val="24"/>
          <w:lang w:val="en-US"/>
        </w:rPr>
      </w:pPr>
      <w:r>
        <w:rPr>
          <w:rFonts w:ascii="Times New Roman Italic" w:hAnsi="Times New Roman Italic" w:cs="Times New Roman Italic"/>
          <w:i/>
          <w:iCs/>
          <w:szCs w:val="24"/>
          <w:lang w:val="en-US" w:eastAsia="zh-CN"/>
        </w:rPr>
        <w:t>Option 1: Define extra margin in requirements</w:t>
      </w:r>
    </w:p>
    <w:p>
      <w:pPr>
        <w:pStyle w:val="48"/>
        <w:numPr>
          <w:ilvl w:val="1"/>
          <w:numId w:val="4"/>
        </w:numPr>
        <w:spacing w:after="120"/>
        <w:rPr>
          <w:rFonts w:hint="eastAsia" w:ascii="Times New Roman Italic" w:hAnsi="Times New Roman Italic" w:cs="Times New Roman Italic"/>
          <w:i/>
          <w:iCs/>
          <w:szCs w:val="24"/>
          <w:lang w:val="en-US"/>
        </w:rPr>
      </w:pPr>
      <w:r>
        <w:rPr>
          <w:rFonts w:ascii="Times New Roman Italic" w:hAnsi="Times New Roman Italic" w:cs="Times New Roman Italic"/>
          <w:i/>
          <w:iCs/>
          <w:szCs w:val="24"/>
          <w:lang w:val="en-US"/>
        </w:rPr>
        <w:t>FFS: need for extra simulations.</w:t>
      </w:r>
    </w:p>
    <w:p>
      <w:pPr>
        <w:spacing w:after="120"/>
        <w:rPr>
          <w:rFonts w:hint="eastAsia" w:ascii="Times New Roman Italic" w:hAnsi="Times New Roman Italic" w:cs="Times New Roman Italic"/>
          <w:i/>
          <w:iCs/>
          <w:szCs w:val="24"/>
          <w:lang w:val="en-US"/>
        </w:rPr>
      </w:pPr>
      <w:r>
        <w:rPr>
          <w:rFonts w:ascii="Times New Roman Italic" w:hAnsi="Times New Roman Italic" w:cs="Times New Roman Italic"/>
          <w:i/>
          <w:iCs/>
          <w:szCs w:val="24"/>
          <w:lang w:val="en-US"/>
        </w:rPr>
        <w:t>Option 2: Do not define extra margin in requirements</w:t>
      </w:r>
    </w:p>
    <w:p>
      <w:pPr>
        <w:pStyle w:val="48"/>
        <w:numPr>
          <w:ilvl w:val="1"/>
          <w:numId w:val="4"/>
        </w:numPr>
        <w:spacing w:after="120"/>
        <w:rPr>
          <w:rFonts w:hint="eastAsia" w:ascii="Times New Roman Italic" w:hAnsi="Times New Roman Italic" w:cs="Times New Roman Italic"/>
          <w:i/>
          <w:iCs/>
          <w:szCs w:val="24"/>
          <w:lang w:val="en-US"/>
        </w:rPr>
      </w:pPr>
      <w:r>
        <w:rPr>
          <w:rFonts w:ascii="Times New Roman Italic" w:hAnsi="Times New Roman Italic" w:cs="Times New Roman Italic"/>
          <w:i/>
          <w:iCs/>
          <w:szCs w:val="24"/>
          <w:lang w:val="en-US"/>
        </w:rPr>
        <w:t xml:space="preserve">Do not update simulation assumptions for carrier phase measurement. </w:t>
      </w:r>
    </w:p>
    <w:p>
      <w:pPr>
        <w:spacing w:before="120" w:beforeLines="50" w:after="120" w:afterLines="50"/>
        <w:rPr>
          <w:rFonts w:hint="eastAsia" w:ascii="Times New Roman Italic" w:hAnsi="Times New Roman Italic" w:cs="Times New Roman Italic"/>
          <w:i/>
          <w:iCs/>
          <w:szCs w:val="24"/>
          <w:lang w:val="en-US" w:eastAsia="zh-CN"/>
        </w:rPr>
      </w:pPr>
      <w:r>
        <w:rPr>
          <w:rFonts w:ascii="Times New Roman Italic" w:hAnsi="Times New Roman Italic" w:cs="Times New Roman Italic"/>
          <w:i/>
          <w:iCs/>
          <w:szCs w:val="24"/>
          <w:lang w:val="en-US" w:eastAsia="zh-CN"/>
        </w:rPr>
        <w:t>Further discuss in the next meeting, proponents are requested to bring results justifying the additional margin for Option 1.</w:t>
      </w:r>
    </w:p>
    <w:p>
      <w:pPr>
        <w:spacing w:before="120" w:beforeLines="50" w:after="120" w:afterLines="50"/>
        <w:rPr>
          <w:rFonts w:hint="eastAsia" w:ascii="Times New Roman Italic" w:hAnsi="Times New Roman Italic" w:cs="Times New Roman Italic"/>
          <w:szCs w:val="24"/>
          <w:lang w:val="en-US" w:eastAsia="zh-CN"/>
        </w:rPr>
      </w:pPr>
    </w:p>
    <w:p>
      <w:pPr>
        <w:spacing w:before="120" w:beforeLines="50" w:after="120" w:afterLines="50"/>
        <w:rPr>
          <w:rFonts w:hint="eastAsia" w:ascii="Times New Roman Italic" w:hAnsi="Times New Roman Italic" w:cs="Times New Roman Italic"/>
          <w:szCs w:val="24"/>
          <w:lang w:val="en-US" w:eastAsia="zh-CN"/>
        </w:rPr>
      </w:pPr>
      <w:r>
        <w:rPr>
          <w:rFonts w:ascii="Times New Roman Italic" w:hAnsi="Times New Roman Italic" w:cs="Times New Roman Italic"/>
          <w:szCs w:val="24"/>
          <w:lang w:val="en-US" w:eastAsia="zh-CN"/>
        </w:rPr>
        <w:t xml:space="preserve">In the previous meetings, issues related to the PRS BW configuration to define the accuracy requirement for carrier phase measurement were discussed. It was then agreed to reuse the PRS BW configuration used to define accuracy requirement for the RSTD and UE Rx-Tx measurement to define the accuracy requirement of the associated carrier phase measurement. In this regard, the group delay margin that depends on the bandwidth of the reference signal as defined for the RSTD measurement also becomes relevant for the RSCPD measurement and relative RSCP measurement. Since the carrier phase measurement and the associated legacy measurement are performed together, there is no need to re-calibrate UE RF between the measurements and therefore, in our view, additional group delay margin also for carrier phase measurement does not need to be defined. </w:t>
      </w:r>
      <w:r>
        <w:rPr>
          <w:rFonts w:ascii="Times New Roman Italic" w:hAnsi="Times New Roman Italic" w:cs="Times New Roman Italic"/>
          <w:szCs w:val="24"/>
          <w:lang w:val="en-US" w:eastAsia="zh-CN"/>
        </w:rPr>
        <w:br w:type="textWrapping"/>
      </w:r>
      <w:r>
        <w:rPr>
          <w:rFonts w:ascii="Times New Roman Italic" w:hAnsi="Times New Roman Italic" w:cs="Times New Roman Italic"/>
          <w:szCs w:val="24"/>
          <w:lang w:val="en-US" w:eastAsia="zh-CN"/>
        </w:rPr>
        <w:t xml:space="preserve"> </w:t>
      </w:r>
    </w:p>
    <w:p>
      <w:pPr>
        <w:pStyle w:val="56"/>
        <w:rPr>
          <w:szCs w:val="24"/>
          <w:lang w:val="en-US"/>
        </w:rPr>
      </w:pPr>
      <w:r>
        <w:rPr>
          <w:lang w:val="en-US"/>
        </w:rPr>
        <w:t xml:space="preserve">RAN4 to not define extra margin for RSCPD and relative RSCP measurements. </w:t>
      </w:r>
    </w:p>
    <w:p>
      <w:pPr>
        <w:pStyle w:val="56"/>
        <w:numPr>
          <w:ilvl w:val="0"/>
          <w:numId w:val="0"/>
        </w:numPr>
        <w:rPr>
          <w:lang w:val="en-US"/>
        </w:rPr>
      </w:pPr>
      <w:r>
        <w:rPr>
          <w:lang w:val="en-US"/>
        </w:rPr>
        <w:br w:type="textWrapping"/>
      </w:r>
      <w:r>
        <w:rPr>
          <w:lang w:val="en-US"/>
        </w:rPr>
        <w:t>Another issue that was discussed but could not be resolved in the last meeting is related to the accuracy requirements to be validated in TCs for CPP. The options agreed FFS are listed below for reference [1].</w:t>
      </w:r>
    </w:p>
    <w:p>
      <w:pPr>
        <w:rPr>
          <w:rFonts w:hint="eastAsia" w:ascii="Times New Roman Italic" w:hAnsi="Times New Roman Italic" w:cs="Times New Roman Italic" w:eastAsiaTheme="minorEastAsia"/>
          <w:i/>
          <w:iCs/>
          <w:lang w:val="en-US" w:eastAsia="zh-CN"/>
        </w:rPr>
      </w:pPr>
      <w:r>
        <w:rPr>
          <w:rFonts w:ascii="Times New Roman Italic" w:hAnsi="Times New Roman Italic" w:cs="Times New Roman Italic" w:eastAsiaTheme="minorEastAsia"/>
          <w:i/>
          <w:iCs/>
          <w:lang w:val="en-US" w:eastAsia="zh-CN"/>
        </w:rPr>
        <w:t xml:space="preserve">Proposals: </w:t>
      </w:r>
    </w:p>
    <w:p>
      <w:pPr>
        <w:pStyle w:val="48"/>
        <w:numPr>
          <w:ilvl w:val="0"/>
          <w:numId w:val="4"/>
        </w:numPr>
        <w:spacing w:after="120"/>
        <w:rPr>
          <w:rFonts w:hint="eastAsia" w:ascii="Times New Roman Italic" w:hAnsi="Times New Roman Italic" w:cs="Times New Roman Italic"/>
          <w:i/>
          <w:iCs/>
          <w:szCs w:val="24"/>
          <w:lang w:val="en-US"/>
        </w:rPr>
      </w:pPr>
      <w:r>
        <w:rPr>
          <w:rFonts w:ascii="Times New Roman Italic" w:hAnsi="Times New Roman Italic" w:cs="Times New Roman Italic"/>
          <w:i/>
          <w:iCs/>
          <w:szCs w:val="24"/>
          <w:lang w:val="en-US"/>
        </w:rPr>
        <w:t xml:space="preserve">Option 1: </w:t>
      </w:r>
    </w:p>
    <w:p>
      <w:pPr>
        <w:pStyle w:val="48"/>
        <w:numPr>
          <w:ilvl w:val="1"/>
          <w:numId w:val="4"/>
        </w:numPr>
        <w:spacing w:after="120"/>
        <w:rPr>
          <w:rFonts w:hint="eastAsia" w:ascii="Times New Roman Italic" w:hAnsi="Times New Roman Italic" w:cs="Times New Roman Italic"/>
          <w:i/>
          <w:iCs/>
          <w:szCs w:val="24"/>
          <w:lang w:val="en-US"/>
        </w:rPr>
      </w:pPr>
      <w:r>
        <w:rPr>
          <w:rFonts w:ascii="Times New Roman Italic" w:hAnsi="Times New Roman Italic" w:cs="Times New Roman Italic"/>
          <w:i/>
          <w:iCs/>
          <w:szCs w:val="24"/>
          <w:lang w:val="en-US"/>
        </w:rPr>
        <w:t xml:space="preserve">Verify both the accuracies of legacy measurements and CPP measurements in one TC with a 90% success rate to reflect UE’s real positioning performance in the deployment. </w:t>
      </w:r>
    </w:p>
    <w:p>
      <w:pPr>
        <w:pStyle w:val="48"/>
        <w:numPr>
          <w:ilvl w:val="0"/>
          <w:numId w:val="4"/>
        </w:numPr>
        <w:spacing w:after="120"/>
        <w:rPr>
          <w:rFonts w:hint="eastAsia" w:ascii="Times New Roman Italic" w:hAnsi="Times New Roman Italic" w:cs="Times New Roman Italic"/>
          <w:i/>
          <w:iCs/>
          <w:szCs w:val="24"/>
          <w:lang w:val="en-US"/>
        </w:rPr>
      </w:pPr>
      <w:r>
        <w:rPr>
          <w:rFonts w:ascii="Times New Roman Italic" w:hAnsi="Times New Roman Italic" w:cs="Times New Roman Italic"/>
          <w:i/>
          <w:iCs/>
          <w:szCs w:val="24"/>
          <w:lang w:val="en-US"/>
        </w:rPr>
        <w:t xml:space="preserve">Option 2: </w:t>
      </w:r>
    </w:p>
    <w:p>
      <w:pPr>
        <w:pStyle w:val="48"/>
        <w:numPr>
          <w:ilvl w:val="1"/>
          <w:numId w:val="4"/>
        </w:numPr>
        <w:spacing w:after="120"/>
        <w:rPr>
          <w:rFonts w:hint="eastAsia" w:ascii="Times New Roman Italic" w:hAnsi="Times New Roman Italic" w:cs="Times New Roman Italic"/>
          <w:i/>
          <w:iCs/>
          <w:szCs w:val="24"/>
          <w:lang w:val="en-US"/>
        </w:rPr>
      </w:pPr>
      <w:r>
        <w:rPr>
          <w:rFonts w:ascii="Times New Roman Italic" w:hAnsi="Times New Roman Italic" w:cs="Times New Roman Italic"/>
          <w:i/>
          <w:iCs/>
          <w:szCs w:val="24"/>
          <w:lang w:val="en-US"/>
        </w:rPr>
        <w:t>Not verify the accuracy requirements for legacy RSTD/Rx-Tx measurement in the RSCPD/RSCP TC.</w:t>
      </w:r>
    </w:p>
    <w:p>
      <w:pPr>
        <w:pStyle w:val="48"/>
        <w:numPr>
          <w:ilvl w:val="1"/>
          <w:numId w:val="0"/>
        </w:numPr>
        <w:spacing w:after="120"/>
        <w:rPr>
          <w:szCs w:val="24"/>
          <w:lang w:val="en-US"/>
        </w:rPr>
      </w:pPr>
    </w:p>
    <w:p>
      <w:pPr>
        <w:pStyle w:val="48"/>
        <w:numPr>
          <w:ilvl w:val="1"/>
          <w:numId w:val="0"/>
        </w:numPr>
        <w:spacing w:after="120"/>
        <w:rPr>
          <w:szCs w:val="24"/>
          <w:lang w:val="en-US"/>
        </w:rPr>
      </w:pPr>
      <w:r>
        <w:rPr>
          <w:szCs w:val="24"/>
          <w:lang w:val="en-US"/>
        </w:rPr>
        <w:t>For UE positioning, carrier phase measurement alone is not enough and can only be used in conjunction with the measurements such as UE Rx-Tx or RSTD that can be used to estimate the range between the UE and the TRPs to resolve the integer ambiguity associated with the carrier phase measurement. It is therefore important to verify when UE reports carrier phase measurement together with the legacy measurements, both measurements meet their corresponding accuracy requirements. Without such validations, it is not possible to ensure decently accurate UE positioning can be achieved in practice.</w:t>
      </w:r>
    </w:p>
    <w:p>
      <w:pPr>
        <w:pStyle w:val="48"/>
        <w:numPr>
          <w:ilvl w:val="1"/>
          <w:numId w:val="0"/>
        </w:numPr>
        <w:spacing w:after="120"/>
        <w:rPr>
          <w:szCs w:val="24"/>
          <w:lang w:val="en-US"/>
        </w:rPr>
      </w:pPr>
    </w:p>
    <w:p>
      <w:pPr>
        <w:pStyle w:val="56"/>
        <w:rPr>
          <w:lang w:val="en-US"/>
        </w:rPr>
      </w:pPr>
      <w:r>
        <w:rPr>
          <w:lang w:val="en-US"/>
        </w:rPr>
        <w:t>Accuracy requirements of both measurements, carrier phase and legacy measurement, are verified in the test cases for CPP.</w:t>
      </w:r>
    </w:p>
    <w:p>
      <w:pPr>
        <w:spacing w:before="120" w:beforeLines="50" w:after="120" w:afterLines="50"/>
        <w:rPr>
          <w:lang w:val="en-US" w:eastAsia="zh-CN"/>
        </w:rPr>
      </w:pPr>
    </w:p>
    <w:p>
      <w:pPr>
        <w:pStyle w:val="2"/>
        <w:rPr>
          <w:lang w:val="en-US"/>
        </w:rPr>
      </w:pPr>
      <w:r>
        <w:rPr>
          <w:lang w:val="en-US"/>
        </w:rPr>
        <w:t>Summary</w:t>
      </w:r>
    </w:p>
    <w:p>
      <w:pPr>
        <w:spacing w:after="120" w:afterLines="50"/>
        <w:rPr>
          <w:lang w:val="en-US" w:eastAsia="zh-CN"/>
        </w:rPr>
      </w:pPr>
      <w:r>
        <w:rPr>
          <w:lang w:val="en-US" w:eastAsia="zh-CN"/>
        </w:rPr>
        <w:t>In this contribution open issues related to the performance requirement for carrier phase measurement are discussed. The proposals below summarize the discussion presented in this paper.</w:t>
      </w:r>
    </w:p>
    <w:p>
      <w:pPr>
        <w:spacing w:after="120" w:afterLines="50"/>
        <w:rPr>
          <w:lang w:val="en-US" w:eastAsia="zh-CN"/>
        </w:rPr>
      </w:pPr>
    </w:p>
    <w:p>
      <w:pPr>
        <w:pStyle w:val="56"/>
        <w:numPr>
          <w:ilvl w:val="0"/>
          <w:numId w:val="5"/>
        </w:numPr>
      </w:pPr>
      <w:r>
        <w:rPr>
          <w:lang w:val="en-US"/>
        </w:rPr>
        <w:t>RAN4 to clarify that the RSCPD accuracy requirement and the relative RSCP accuracy requirement apply given that the carrier phase measurements are performed on PRS resources within a slot.</w:t>
      </w:r>
      <w:r>
        <w:rPr>
          <w:lang w:val="en-US"/>
        </w:rPr>
        <w:br w:type="textWrapping"/>
      </w:r>
    </w:p>
    <w:p>
      <w:pPr>
        <w:pStyle w:val="56"/>
        <w:numPr>
          <w:ilvl w:val="0"/>
          <w:numId w:val="5"/>
        </w:numPr>
      </w:pPr>
      <w:r>
        <w:rPr>
          <w:lang w:val="en-US"/>
        </w:rPr>
        <w:t xml:space="preserve">RAN4 to not define extra margin for RSCPD and relative RSCP measurements. </w:t>
      </w:r>
      <w:r>
        <w:rPr>
          <w:lang w:val="en-US"/>
        </w:rPr>
        <w:br w:type="textWrapping"/>
      </w:r>
    </w:p>
    <w:p>
      <w:pPr>
        <w:pStyle w:val="56"/>
        <w:numPr>
          <w:ilvl w:val="0"/>
          <w:numId w:val="5"/>
        </w:numPr>
        <w:spacing w:after="120" w:afterLines="50"/>
        <w:rPr>
          <w:lang w:val="en-US"/>
        </w:rPr>
      </w:pPr>
      <w:r>
        <w:rPr>
          <w:lang w:val="en-US"/>
        </w:rPr>
        <w:t>Accuracy requirements of both measurements, carrier phase and legacy measurement, are verified in the test cases for CPP.</w:t>
      </w:r>
    </w:p>
    <w:p>
      <w:pPr>
        <w:pStyle w:val="2"/>
        <w:rPr>
          <w:lang w:val="en-US"/>
        </w:rPr>
      </w:pPr>
      <w:r>
        <w:rPr>
          <w:lang w:val="en-US"/>
        </w:rPr>
        <w:t>References</w:t>
      </w:r>
    </w:p>
    <w:p>
      <w:pPr>
        <w:numPr>
          <w:ilvl w:val="0"/>
          <w:numId w:val="6"/>
        </w:numPr>
        <w:spacing w:after="120" w:afterLines="50"/>
        <w:jc w:val="both"/>
        <w:rPr>
          <w:lang w:val="en-US" w:eastAsia="zh-CN"/>
        </w:rPr>
      </w:pPr>
      <w:r>
        <w:rPr>
          <w:lang w:val="en-US" w:eastAsia="zh-CN"/>
        </w:rPr>
        <w:t>R4-2410193, WF on SL positioning and carrier phase positioning, CATT.</w:t>
      </w: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40" w:right="1440" w:bottom="1440" w:left="1440" w:header="680" w:footer="567"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Wingdings">
    <w:panose1 w:val="05000000000000000000"/>
    <w:charset w:val="02"/>
    <w:family w:val="decorative"/>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Times New Roman Italic">
    <w:panose1 w:val="02020603050405020304"/>
    <w:charset w:val="00"/>
    <w:family w:val="auto"/>
    <w:pitch w:val="default"/>
    <w:sig w:usb0="00000000" w:usb1="00000000" w:usb2="00000000" w:usb3="00000000" w:csb0="00000000" w:csb1="00000000"/>
  </w:font>
  <w:font w:name="等线">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Hiragino Sans GB">
    <w:panose1 w:val="020B0300000000000000"/>
    <w:charset w:val="86"/>
    <w:family w:val="auto"/>
    <w:pitch w:val="default"/>
    <w:sig w:usb0="00000000" w:usb1="00000000" w:usb2="00000000" w:usb3="00000000" w:csb0="0016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9591332"/>
    </w:sdtPr>
    <w:sdtContent>
      <w:p>
        <w:pPr>
          <w:pStyle w:val="20"/>
          <w:jc w:val="center"/>
        </w:pPr>
        <w:r>
          <w:fldChar w:fldCharType="begin"/>
        </w:r>
        <w:r>
          <w:instrText xml:space="preserve"> PAGE   \* MERGEFORMAT </w:instrText>
        </w:r>
        <w:r>
          <w:fldChar w:fldCharType="separate"/>
        </w:r>
        <w:r>
          <w:t>4</w:t>
        </w:r>
        <w:r>
          <w:fldChar w:fldCharType="end"/>
        </w:r>
      </w:p>
    </w:sdtContent>
  </w:sdt>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D30F68"/>
    <w:multiLevelType w:val="multilevel"/>
    <w:tmpl w:val="02D30F68"/>
    <w:lvl w:ilvl="0" w:tentative="0">
      <w:start w:val="1"/>
      <w:numFmt w:val="decimal"/>
      <w:pStyle w:val="56"/>
      <w:lvlText w:val="Proposal %1:"/>
      <w:lvlJc w:val="left"/>
      <w:pPr>
        <w:ind w:left="0" w:firstLine="0"/>
      </w:pPr>
      <w:rPr>
        <w:rFonts w:hint="default" w:ascii="Times New Roman" w:hAnsi="Times New Roman"/>
        <w:b/>
        <w:bCs/>
        <w:i w:val="0"/>
        <w:sz w:val="22"/>
      </w:rPr>
    </w:lvl>
    <w:lvl w:ilvl="1" w:tentative="0">
      <w:start w:val="1"/>
      <w:numFmt w:val="decimalZero"/>
      <w:isLgl/>
      <w:lvlText w:val="Section %1.%2"/>
      <w:lvlJc w:val="left"/>
      <w:pPr>
        <w:ind w:left="0" w:firstLine="0"/>
      </w:pPr>
      <w:rPr>
        <w:rFonts w:hint="default"/>
      </w:rPr>
    </w:lvl>
    <w:lvl w:ilvl="2" w:tentative="0">
      <w:start w:val="1"/>
      <w:numFmt w:val="lowerLetter"/>
      <w:lvlText w:val="(%3)"/>
      <w:lvlJc w:val="left"/>
      <w:pPr>
        <w:ind w:left="720" w:hanging="432"/>
      </w:pPr>
      <w:rPr>
        <w:rFonts w:hint="default"/>
      </w:rPr>
    </w:lvl>
    <w:lvl w:ilvl="3" w:tentative="0">
      <w:start w:val="1"/>
      <w:numFmt w:val="lowerRoman"/>
      <w:lvlText w:val="(%4)"/>
      <w:lvlJc w:val="right"/>
      <w:pPr>
        <w:ind w:left="864" w:hanging="144"/>
      </w:pPr>
      <w:rPr>
        <w:rFonts w:hint="default"/>
      </w:rPr>
    </w:lvl>
    <w:lvl w:ilvl="4" w:tentative="0">
      <w:start w:val="1"/>
      <w:numFmt w:val="decimal"/>
      <w:lvlText w:val="%5)"/>
      <w:lvlJc w:val="left"/>
      <w:pPr>
        <w:ind w:left="1008" w:hanging="432"/>
      </w:pPr>
      <w:rPr>
        <w:rFonts w:hint="default"/>
      </w:rPr>
    </w:lvl>
    <w:lvl w:ilvl="5" w:tentative="0">
      <w:start w:val="1"/>
      <w:numFmt w:val="lowerLetter"/>
      <w:lvlText w:val="%6)"/>
      <w:lvlJc w:val="left"/>
      <w:pPr>
        <w:ind w:left="1152" w:hanging="432"/>
      </w:pPr>
      <w:rPr>
        <w:rFonts w:hint="default"/>
      </w:rPr>
    </w:lvl>
    <w:lvl w:ilvl="6" w:tentative="0">
      <w:start w:val="1"/>
      <w:numFmt w:val="lowerRoman"/>
      <w:lvlText w:val="%7)"/>
      <w:lvlJc w:val="right"/>
      <w:pPr>
        <w:ind w:left="1296" w:hanging="288"/>
      </w:pPr>
      <w:rPr>
        <w:rFonts w:hint="default"/>
      </w:rPr>
    </w:lvl>
    <w:lvl w:ilvl="7" w:tentative="0">
      <w:start w:val="1"/>
      <w:numFmt w:val="lowerLetter"/>
      <w:lvlText w:val="%8."/>
      <w:lvlJc w:val="left"/>
      <w:pPr>
        <w:ind w:left="1440" w:hanging="432"/>
      </w:pPr>
      <w:rPr>
        <w:rFonts w:hint="default"/>
      </w:rPr>
    </w:lvl>
    <w:lvl w:ilvl="8" w:tentative="0">
      <w:start w:val="1"/>
      <w:numFmt w:val="lowerRoman"/>
      <w:lvlText w:val="%9."/>
      <w:lvlJc w:val="right"/>
      <w:pPr>
        <w:ind w:left="1584" w:hanging="144"/>
      </w:pPr>
      <w:rPr>
        <w:rFonts w:hint="default"/>
      </w:rPr>
    </w:lvl>
  </w:abstractNum>
  <w:abstractNum w:abstractNumId="1">
    <w:nsid w:val="3C246104"/>
    <w:multiLevelType w:val="multilevel"/>
    <w:tmpl w:val="3C24610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0CB7897"/>
    <w:multiLevelType w:val="multilevel"/>
    <w:tmpl w:val="40CB7897"/>
    <w:lvl w:ilvl="0" w:tentative="0">
      <w:start w:val="1"/>
      <w:numFmt w:val="bullet"/>
      <w:lvlText w:val=""/>
      <w:lvlJc w:val="left"/>
      <w:pPr>
        <w:ind w:left="720" w:hanging="360"/>
      </w:pPr>
      <w:rPr>
        <w:rFonts w:hint="default" w:ascii="Symbol" w:hAnsi="Symbol"/>
      </w:rPr>
    </w:lvl>
    <w:lvl w:ilvl="1" w:tentative="0">
      <w:start w:val="1"/>
      <w:numFmt w:val="bullet"/>
      <w:pStyle w:val="48"/>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4"/>
  </w:num>
  <w:num w:numId="2">
    <w:abstractNumId w:val="2"/>
  </w:num>
  <w:num w:numId="3">
    <w:abstractNumId w:val="0"/>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displayBackgroundShape w:val="1"/>
  <w:bordersDoNotSurroundHeader w:val="1"/>
  <w:bordersDoNotSurroundFooter w:val="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4376"/>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1D24"/>
    <w:rsid w:val="000D2422"/>
    <w:rsid w:val="000D3CE2"/>
    <w:rsid w:val="000D5118"/>
    <w:rsid w:val="000D5C09"/>
    <w:rsid w:val="000D5D71"/>
    <w:rsid w:val="000D5EE1"/>
    <w:rsid w:val="000D6AD5"/>
    <w:rsid w:val="000D6FAC"/>
    <w:rsid w:val="000D72A8"/>
    <w:rsid w:val="000D7543"/>
    <w:rsid w:val="000D797D"/>
    <w:rsid w:val="000D79DC"/>
    <w:rsid w:val="000D7B6B"/>
    <w:rsid w:val="000D7BDF"/>
    <w:rsid w:val="000D7DA3"/>
    <w:rsid w:val="000E06D1"/>
    <w:rsid w:val="000E0AEF"/>
    <w:rsid w:val="000E0D21"/>
    <w:rsid w:val="000E0D98"/>
    <w:rsid w:val="000E1949"/>
    <w:rsid w:val="000E1B95"/>
    <w:rsid w:val="000E206E"/>
    <w:rsid w:val="000E25CD"/>
    <w:rsid w:val="000E2871"/>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1D5"/>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209"/>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9D0"/>
    <w:rsid w:val="001D7276"/>
    <w:rsid w:val="001D76A8"/>
    <w:rsid w:val="001D7703"/>
    <w:rsid w:val="001E016B"/>
    <w:rsid w:val="001E04CA"/>
    <w:rsid w:val="001E0541"/>
    <w:rsid w:val="001E139E"/>
    <w:rsid w:val="001E2128"/>
    <w:rsid w:val="001E224D"/>
    <w:rsid w:val="001E29D5"/>
    <w:rsid w:val="001E2AB6"/>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5ECD"/>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2E3"/>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4941"/>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08C0"/>
    <w:rsid w:val="002B18F4"/>
    <w:rsid w:val="002B2DCE"/>
    <w:rsid w:val="002B3FCC"/>
    <w:rsid w:val="002B4CDF"/>
    <w:rsid w:val="002B4EF5"/>
    <w:rsid w:val="002B58D7"/>
    <w:rsid w:val="002B5C5D"/>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803"/>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356"/>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6EA5"/>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6D5C"/>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05FB"/>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178"/>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547"/>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38"/>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6D76"/>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60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EE1"/>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879"/>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A81"/>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20B"/>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04AF"/>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7C0"/>
    <w:rsid w:val="008010BA"/>
    <w:rsid w:val="00802CB9"/>
    <w:rsid w:val="00802E53"/>
    <w:rsid w:val="00803141"/>
    <w:rsid w:val="008032F7"/>
    <w:rsid w:val="00803302"/>
    <w:rsid w:val="00804A6E"/>
    <w:rsid w:val="00805B7F"/>
    <w:rsid w:val="0080626A"/>
    <w:rsid w:val="008062DA"/>
    <w:rsid w:val="00807772"/>
    <w:rsid w:val="008079F1"/>
    <w:rsid w:val="00807A82"/>
    <w:rsid w:val="008102DC"/>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0800"/>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302"/>
    <w:rsid w:val="008957E1"/>
    <w:rsid w:val="00895962"/>
    <w:rsid w:val="008963C9"/>
    <w:rsid w:val="00897BDF"/>
    <w:rsid w:val="008A0544"/>
    <w:rsid w:val="008A108A"/>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0376"/>
    <w:rsid w:val="0099109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274"/>
    <w:rsid w:val="009C3533"/>
    <w:rsid w:val="009C378B"/>
    <w:rsid w:val="009C4082"/>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5A0"/>
    <w:rsid w:val="009F4713"/>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36F0"/>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FC4"/>
    <w:rsid w:val="00AA7F13"/>
    <w:rsid w:val="00AB0D58"/>
    <w:rsid w:val="00AB0E4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B7F2B"/>
    <w:rsid w:val="00AC0911"/>
    <w:rsid w:val="00AC21AF"/>
    <w:rsid w:val="00AC22C6"/>
    <w:rsid w:val="00AC24EF"/>
    <w:rsid w:val="00AC2CA3"/>
    <w:rsid w:val="00AC2D6E"/>
    <w:rsid w:val="00AC2D72"/>
    <w:rsid w:val="00AC3339"/>
    <w:rsid w:val="00AC3CEA"/>
    <w:rsid w:val="00AC3EA1"/>
    <w:rsid w:val="00AC4245"/>
    <w:rsid w:val="00AC4BCB"/>
    <w:rsid w:val="00AC5266"/>
    <w:rsid w:val="00AC5867"/>
    <w:rsid w:val="00AC642C"/>
    <w:rsid w:val="00AC64AD"/>
    <w:rsid w:val="00AC66A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1B38"/>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7B1"/>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4979"/>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A68"/>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30"/>
    <w:rsid w:val="00B813C3"/>
    <w:rsid w:val="00B82834"/>
    <w:rsid w:val="00B82A70"/>
    <w:rsid w:val="00B82C44"/>
    <w:rsid w:val="00B82F28"/>
    <w:rsid w:val="00B83E23"/>
    <w:rsid w:val="00B85811"/>
    <w:rsid w:val="00B85E90"/>
    <w:rsid w:val="00B867CD"/>
    <w:rsid w:val="00B86BC8"/>
    <w:rsid w:val="00B86DC9"/>
    <w:rsid w:val="00B9075C"/>
    <w:rsid w:val="00B91180"/>
    <w:rsid w:val="00B9169A"/>
    <w:rsid w:val="00B91B5C"/>
    <w:rsid w:val="00B91D07"/>
    <w:rsid w:val="00B92678"/>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047"/>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2DBB"/>
    <w:rsid w:val="00BC3618"/>
    <w:rsid w:val="00BC3643"/>
    <w:rsid w:val="00BC3F00"/>
    <w:rsid w:val="00BC4277"/>
    <w:rsid w:val="00BC43EB"/>
    <w:rsid w:val="00BC55D5"/>
    <w:rsid w:val="00BC5C1C"/>
    <w:rsid w:val="00BC6062"/>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76A"/>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5010"/>
    <w:rsid w:val="00C16B5D"/>
    <w:rsid w:val="00C16C2B"/>
    <w:rsid w:val="00C17771"/>
    <w:rsid w:val="00C20D05"/>
    <w:rsid w:val="00C20DB7"/>
    <w:rsid w:val="00C21995"/>
    <w:rsid w:val="00C21EB2"/>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670"/>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6A"/>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9FD"/>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436"/>
    <w:rsid w:val="00D11A33"/>
    <w:rsid w:val="00D12495"/>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382"/>
    <w:rsid w:val="00D37412"/>
    <w:rsid w:val="00D414BC"/>
    <w:rsid w:val="00D444A7"/>
    <w:rsid w:val="00D446C9"/>
    <w:rsid w:val="00D44FB7"/>
    <w:rsid w:val="00D46EDF"/>
    <w:rsid w:val="00D47A25"/>
    <w:rsid w:val="00D47AEB"/>
    <w:rsid w:val="00D51517"/>
    <w:rsid w:val="00D515EE"/>
    <w:rsid w:val="00D525A1"/>
    <w:rsid w:val="00D52A7A"/>
    <w:rsid w:val="00D52F4E"/>
    <w:rsid w:val="00D5446B"/>
    <w:rsid w:val="00D55B01"/>
    <w:rsid w:val="00D56B5E"/>
    <w:rsid w:val="00D57275"/>
    <w:rsid w:val="00D5746E"/>
    <w:rsid w:val="00D57575"/>
    <w:rsid w:val="00D57F24"/>
    <w:rsid w:val="00D608E4"/>
    <w:rsid w:val="00D60F75"/>
    <w:rsid w:val="00D611AC"/>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66A"/>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3091"/>
    <w:rsid w:val="00DB4107"/>
    <w:rsid w:val="00DB42EB"/>
    <w:rsid w:val="00DB48A4"/>
    <w:rsid w:val="00DB4A45"/>
    <w:rsid w:val="00DB4CF8"/>
    <w:rsid w:val="00DB59C4"/>
    <w:rsid w:val="00DB5B97"/>
    <w:rsid w:val="00DB642C"/>
    <w:rsid w:val="00DB73FE"/>
    <w:rsid w:val="00DB75F0"/>
    <w:rsid w:val="00DB795E"/>
    <w:rsid w:val="00DB7B7A"/>
    <w:rsid w:val="00DC03B4"/>
    <w:rsid w:val="00DC121F"/>
    <w:rsid w:val="00DC1BB1"/>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106"/>
    <w:rsid w:val="00E1693D"/>
    <w:rsid w:val="00E17E6A"/>
    <w:rsid w:val="00E2016F"/>
    <w:rsid w:val="00E22D4D"/>
    <w:rsid w:val="00E23086"/>
    <w:rsid w:val="00E2385C"/>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566F"/>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0DA"/>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3662"/>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27F"/>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261"/>
    <w:rsid w:val="00F71751"/>
    <w:rsid w:val="00F7177B"/>
    <w:rsid w:val="00F718C3"/>
    <w:rsid w:val="00F71CA4"/>
    <w:rsid w:val="00F72BE8"/>
    <w:rsid w:val="00F73BB4"/>
    <w:rsid w:val="00F74CA9"/>
    <w:rsid w:val="00F75461"/>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17FF1F4D"/>
    <w:rsid w:val="37DF1276"/>
    <w:rsid w:val="3BF377FE"/>
    <w:rsid w:val="67C3E879"/>
    <w:rsid w:val="7F7A17B5"/>
    <w:rsid w:val="9BFDC3A1"/>
    <w:rsid w:val="BFDCACB5"/>
    <w:rsid w:val="DFE7EBB0"/>
    <w:rsid w:val="E46BC788"/>
    <w:rsid w:val="FDFFA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SimSun" w:cs="Times New Roman"/>
      <w:sz w:val="22"/>
      <w:lang w:val="en-GB" w:eastAsia="en-US" w:bidi="ar-SA"/>
    </w:rPr>
  </w:style>
  <w:style w:type="paragraph" w:styleId="2">
    <w:name w:val="heading 1"/>
    <w:next w:val="1"/>
    <w:link w:val="24"/>
    <w:qFormat/>
    <w:uiPriority w:val="0"/>
    <w:pPr>
      <w:keepNext/>
      <w:keepLines/>
      <w:numPr>
        <w:ilvl w:val="0"/>
        <w:numId w:val="1"/>
      </w:numPr>
      <w:pBdr>
        <w:top w:val="single" w:color="auto" w:sz="12" w:space="3"/>
      </w:pBdr>
      <w:spacing w:before="240" w:after="180" w:line="259" w:lineRule="auto"/>
      <w:outlineLvl w:val="0"/>
    </w:pPr>
    <w:rPr>
      <w:rFonts w:ascii="Arial" w:hAnsi="Arial" w:eastAsia="SimSun" w:cs="Times New Roman"/>
      <w:sz w:val="28"/>
      <w:szCs w:val="28"/>
      <w:lang w:val="en-GB" w:eastAsia="zh-CN" w:bidi="ar-SA"/>
    </w:rPr>
  </w:style>
  <w:style w:type="paragraph" w:styleId="3">
    <w:name w:val="heading 2"/>
    <w:basedOn w:val="2"/>
    <w:next w:val="1"/>
    <w:link w:val="25"/>
    <w:qFormat/>
    <w:uiPriority w:val="0"/>
    <w:pPr>
      <w:numPr>
        <w:ilvl w:val="1"/>
      </w:numPr>
      <w:pBdr>
        <w:top w:val="none" w:color="auto" w:sz="0" w:space="0"/>
      </w:pBdr>
      <w:spacing w:before="180"/>
      <w:outlineLvl w:val="1"/>
    </w:pPr>
    <w:rPr>
      <w:sz w:val="26"/>
    </w:rPr>
  </w:style>
  <w:style w:type="paragraph" w:styleId="4">
    <w:name w:val="heading 3"/>
    <w:basedOn w:val="3"/>
    <w:next w:val="1"/>
    <w:link w:val="26"/>
    <w:qFormat/>
    <w:uiPriority w:val="0"/>
    <w:pPr>
      <w:numPr>
        <w:ilvl w:val="2"/>
      </w:numPr>
      <w:spacing w:before="120"/>
      <w:ind w:left="720"/>
      <w:outlineLvl w:val="2"/>
    </w:pPr>
    <w:rPr>
      <w:sz w:val="24"/>
    </w:rPr>
  </w:style>
  <w:style w:type="paragraph" w:styleId="5">
    <w:name w:val="heading 4"/>
    <w:basedOn w:val="4"/>
    <w:next w:val="1"/>
    <w:link w:val="27"/>
    <w:qFormat/>
    <w:uiPriority w:val="0"/>
    <w:pPr>
      <w:numPr>
        <w:ilvl w:val="3"/>
      </w:numPr>
      <w:outlineLvl w:val="3"/>
    </w:pPr>
    <w:rPr>
      <w:sz w:val="22"/>
    </w:rPr>
  </w:style>
  <w:style w:type="paragraph" w:styleId="6">
    <w:name w:val="heading 5"/>
    <w:basedOn w:val="5"/>
    <w:next w:val="1"/>
    <w:link w:val="28"/>
    <w:qFormat/>
    <w:uiPriority w:val="0"/>
    <w:pPr>
      <w:numPr>
        <w:ilvl w:val="4"/>
      </w:numPr>
      <w:outlineLvl w:val="4"/>
    </w:pPr>
    <w:rPr>
      <w:sz w:val="20"/>
    </w:rPr>
  </w:style>
  <w:style w:type="paragraph" w:styleId="7">
    <w:name w:val="heading 6"/>
    <w:basedOn w:val="1"/>
    <w:next w:val="1"/>
    <w:link w:val="29"/>
    <w:qFormat/>
    <w:uiPriority w:val="0"/>
    <w:pPr>
      <w:keepNext/>
      <w:keepLines/>
      <w:numPr>
        <w:ilvl w:val="5"/>
        <w:numId w:val="1"/>
      </w:numPr>
      <w:spacing w:before="120"/>
      <w:outlineLvl w:val="5"/>
    </w:pPr>
    <w:rPr>
      <w:rFonts w:ascii="Arial" w:hAnsi="Arial"/>
    </w:rPr>
  </w:style>
  <w:style w:type="paragraph" w:styleId="8">
    <w:name w:val="heading 7"/>
    <w:basedOn w:val="1"/>
    <w:next w:val="1"/>
    <w:link w:val="30"/>
    <w:qFormat/>
    <w:uiPriority w:val="0"/>
    <w:pPr>
      <w:keepNext/>
      <w:keepLines/>
      <w:numPr>
        <w:ilvl w:val="6"/>
        <w:numId w:val="1"/>
      </w:numPr>
      <w:spacing w:before="120"/>
      <w:outlineLvl w:val="6"/>
    </w:pPr>
    <w:rPr>
      <w:rFonts w:ascii="Arial" w:hAnsi="Arial"/>
    </w:rPr>
  </w:style>
  <w:style w:type="paragraph" w:styleId="9">
    <w:name w:val="heading 8"/>
    <w:basedOn w:val="2"/>
    <w:next w:val="1"/>
    <w:link w:val="31"/>
    <w:qFormat/>
    <w:uiPriority w:val="0"/>
    <w:pPr>
      <w:numPr>
        <w:ilvl w:val="7"/>
      </w:numPr>
      <w:outlineLvl w:val="7"/>
    </w:pPr>
  </w:style>
  <w:style w:type="paragraph" w:styleId="10">
    <w:name w:val="heading 9"/>
    <w:basedOn w:val="9"/>
    <w:next w:val="1"/>
    <w:link w:val="32"/>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6"/>
    <w:semiHidden/>
    <w:unhideWhenUsed/>
    <w:qFormat/>
    <w:uiPriority w:val="99"/>
    <w:pPr>
      <w:spacing w:after="0"/>
    </w:pPr>
    <w:rPr>
      <w:sz w:val="18"/>
      <w:szCs w:val="18"/>
    </w:rPr>
  </w:style>
  <w:style w:type="paragraph" w:styleId="14">
    <w:name w:val="caption"/>
    <w:basedOn w:val="1"/>
    <w:next w:val="1"/>
    <w:qFormat/>
    <w:uiPriority w:val="0"/>
    <w:pPr>
      <w:autoSpaceDE w:val="0"/>
      <w:autoSpaceDN w:val="0"/>
      <w:adjustRightInd w:val="0"/>
      <w:snapToGrid w:val="0"/>
      <w:spacing w:after="120"/>
      <w:jc w:val="center"/>
    </w:pPr>
    <w:rPr>
      <w:b/>
      <w:bCs/>
      <w:lang w:val="en-US"/>
    </w:rPr>
  </w:style>
  <w:style w:type="character" w:styleId="15">
    <w:name w:val="annotation reference"/>
    <w:basedOn w:val="11"/>
    <w:semiHidden/>
    <w:unhideWhenUsed/>
    <w:uiPriority w:val="99"/>
    <w:rPr>
      <w:sz w:val="16"/>
      <w:szCs w:val="16"/>
    </w:rPr>
  </w:style>
  <w:style w:type="paragraph" w:styleId="16">
    <w:name w:val="annotation text"/>
    <w:basedOn w:val="1"/>
    <w:link w:val="54"/>
    <w:semiHidden/>
    <w:unhideWhenUsed/>
    <w:uiPriority w:val="99"/>
    <w:pPr>
      <w:spacing w:line="240" w:lineRule="auto"/>
    </w:pPr>
  </w:style>
  <w:style w:type="paragraph" w:styleId="17">
    <w:name w:val="annotation subject"/>
    <w:basedOn w:val="16"/>
    <w:next w:val="16"/>
    <w:link w:val="55"/>
    <w:semiHidden/>
    <w:unhideWhenUsed/>
    <w:uiPriority w:val="99"/>
    <w:rPr>
      <w:b/>
      <w:bCs/>
    </w:rPr>
  </w:style>
  <w:style w:type="paragraph" w:styleId="18">
    <w:name w:val="Date"/>
    <w:basedOn w:val="1"/>
    <w:next w:val="1"/>
    <w:link w:val="47"/>
    <w:semiHidden/>
    <w:unhideWhenUsed/>
    <w:qFormat/>
    <w:uiPriority w:val="99"/>
    <w:pPr>
      <w:ind w:left="100" w:leftChars="2500"/>
    </w:pPr>
  </w:style>
  <w:style w:type="paragraph" w:styleId="19">
    <w:name w:val="Document Map"/>
    <w:basedOn w:val="1"/>
    <w:link w:val="35"/>
    <w:semiHidden/>
    <w:unhideWhenUsed/>
    <w:qFormat/>
    <w:uiPriority w:val="99"/>
    <w:rPr>
      <w:rFonts w:ascii="SimSun"/>
      <w:sz w:val="18"/>
      <w:szCs w:val="18"/>
    </w:rPr>
  </w:style>
  <w:style w:type="paragraph" w:styleId="20">
    <w:name w:val="footer"/>
    <w:basedOn w:val="1"/>
    <w:link w:val="46"/>
    <w:unhideWhenUsed/>
    <w:qFormat/>
    <w:uiPriority w:val="99"/>
    <w:pPr>
      <w:tabs>
        <w:tab w:val="center" w:pos="4153"/>
        <w:tab w:val="right" w:pos="8306"/>
      </w:tabs>
      <w:snapToGrid w:val="0"/>
    </w:pPr>
    <w:rPr>
      <w:sz w:val="18"/>
      <w:szCs w:val="18"/>
    </w:rPr>
  </w:style>
  <w:style w:type="paragraph" w:styleId="21">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Normal (Web)"/>
    <w:basedOn w:val="1"/>
    <w:unhideWhenUsed/>
    <w:qFormat/>
    <w:uiPriority w:val="99"/>
    <w:pPr>
      <w:spacing w:before="100" w:beforeAutospacing="1" w:after="100" w:afterAutospacing="1"/>
    </w:pPr>
    <w:rPr>
      <w:rFonts w:ascii="SimSun" w:hAnsi="SimSun" w:cs="SimSun"/>
      <w:sz w:val="24"/>
      <w:szCs w:val="24"/>
      <w:lang w:val="en-US" w:eastAsia="zh-CN"/>
    </w:rPr>
  </w:style>
  <w:style w:type="table" w:styleId="2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Heading 1 Char"/>
    <w:link w:val="2"/>
    <w:uiPriority w:val="0"/>
    <w:rPr>
      <w:rFonts w:ascii="Arial" w:hAnsi="Arial"/>
      <w:sz w:val="28"/>
      <w:szCs w:val="28"/>
      <w:lang w:val="en-GB"/>
    </w:rPr>
  </w:style>
  <w:style w:type="character" w:customStyle="1" w:styleId="25">
    <w:name w:val="Heading 2 Char"/>
    <w:link w:val="3"/>
    <w:uiPriority w:val="0"/>
    <w:rPr>
      <w:rFonts w:ascii="Arial" w:hAnsi="Arial"/>
      <w:sz w:val="26"/>
      <w:szCs w:val="28"/>
      <w:lang w:val="en-GB"/>
    </w:rPr>
  </w:style>
  <w:style w:type="character" w:customStyle="1" w:styleId="26">
    <w:name w:val="Heading 3 Char"/>
    <w:link w:val="4"/>
    <w:uiPriority w:val="0"/>
    <w:rPr>
      <w:rFonts w:ascii="Arial" w:hAnsi="Arial"/>
      <w:sz w:val="24"/>
      <w:szCs w:val="28"/>
      <w:lang w:val="en-GB"/>
    </w:rPr>
  </w:style>
  <w:style w:type="character" w:customStyle="1" w:styleId="27">
    <w:name w:val="Heading 4 Char"/>
    <w:link w:val="5"/>
    <w:qFormat/>
    <w:uiPriority w:val="0"/>
    <w:rPr>
      <w:rFonts w:ascii="Arial" w:hAnsi="Arial"/>
      <w:sz w:val="22"/>
      <w:szCs w:val="28"/>
      <w:lang w:val="en-GB"/>
    </w:rPr>
  </w:style>
  <w:style w:type="character" w:customStyle="1" w:styleId="28">
    <w:name w:val="Heading 5 Char"/>
    <w:link w:val="6"/>
    <w:qFormat/>
    <w:uiPriority w:val="0"/>
    <w:rPr>
      <w:rFonts w:ascii="Arial" w:hAnsi="Arial"/>
      <w:lang w:val="en-GB" w:eastAsia="en-US"/>
    </w:rPr>
  </w:style>
  <w:style w:type="character" w:customStyle="1" w:styleId="29">
    <w:name w:val="Heading 6 Char"/>
    <w:link w:val="7"/>
    <w:qFormat/>
    <w:uiPriority w:val="0"/>
    <w:rPr>
      <w:rFonts w:ascii="Arial" w:hAnsi="Arial"/>
      <w:lang w:val="en-GB" w:eastAsia="en-US"/>
    </w:rPr>
  </w:style>
  <w:style w:type="character" w:customStyle="1" w:styleId="30">
    <w:name w:val="Heading 7 Char"/>
    <w:link w:val="8"/>
    <w:qFormat/>
    <w:uiPriority w:val="0"/>
    <w:rPr>
      <w:rFonts w:ascii="Arial" w:hAnsi="Arial"/>
      <w:lang w:val="en-GB" w:eastAsia="en-US"/>
    </w:rPr>
  </w:style>
  <w:style w:type="character" w:customStyle="1" w:styleId="31">
    <w:name w:val="Heading 8 Char"/>
    <w:link w:val="9"/>
    <w:uiPriority w:val="0"/>
    <w:rPr>
      <w:rFonts w:ascii="Arial" w:hAnsi="Arial"/>
      <w:sz w:val="36"/>
      <w:lang w:val="en-GB" w:eastAsia="en-US"/>
    </w:rPr>
  </w:style>
  <w:style w:type="character" w:customStyle="1" w:styleId="32">
    <w:name w:val="Heading 9 Char"/>
    <w:link w:val="10"/>
    <w:qFormat/>
    <w:uiPriority w:val="0"/>
    <w:rPr>
      <w:rFonts w:ascii="Arial" w:hAnsi="Arial"/>
      <w:sz w:val="36"/>
      <w:lang w:val="en-GB" w:eastAsia="en-US"/>
    </w:rPr>
  </w:style>
  <w:style w:type="paragraph" w:customStyle="1" w:styleId="33">
    <w:name w:val="TAC"/>
    <w:basedOn w:val="1"/>
    <w:link w:val="34"/>
    <w:qFormat/>
    <w:uiPriority w:val="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customStyle="1" w:styleId="34">
    <w:name w:val="TAC Char"/>
    <w:link w:val="33"/>
    <w:qFormat/>
    <w:uiPriority w:val="0"/>
    <w:rPr>
      <w:rFonts w:ascii="Arial" w:hAnsi="Arial" w:eastAsia="Times New Roman"/>
      <w:sz w:val="18"/>
      <w:lang w:eastAsia="en-GB"/>
    </w:rPr>
  </w:style>
  <w:style w:type="character" w:customStyle="1" w:styleId="35">
    <w:name w:val="Document Map Char"/>
    <w:link w:val="19"/>
    <w:semiHidden/>
    <w:qFormat/>
    <w:uiPriority w:val="99"/>
    <w:rPr>
      <w:rFonts w:ascii="SimSun" w:hAnsi="Times New Roman"/>
      <w:sz w:val="18"/>
      <w:szCs w:val="18"/>
      <w:lang w:val="en-GB" w:eastAsia="en-US"/>
    </w:rPr>
  </w:style>
  <w:style w:type="character" w:customStyle="1" w:styleId="36">
    <w:name w:val="Balloon Text Char"/>
    <w:link w:val="13"/>
    <w:semiHidden/>
    <w:qFormat/>
    <w:uiPriority w:val="99"/>
    <w:rPr>
      <w:rFonts w:ascii="Times New Roman" w:hAnsi="Times New Roman"/>
      <w:sz w:val="18"/>
      <w:szCs w:val="18"/>
      <w:lang w:val="en-GB" w:eastAsia="en-US"/>
    </w:rPr>
  </w:style>
  <w:style w:type="character" w:customStyle="1" w:styleId="37">
    <w:name w:val="TAL Car"/>
    <w:link w:val="38"/>
    <w:qFormat/>
    <w:locked/>
    <w:uiPriority w:val="0"/>
    <w:rPr>
      <w:rFonts w:ascii="Arial" w:hAnsi="Arial" w:cs="Arial"/>
      <w:sz w:val="18"/>
      <w:szCs w:val="18"/>
      <w:lang w:val="en-GB" w:eastAsia="ja-JP"/>
    </w:rPr>
  </w:style>
  <w:style w:type="paragraph" w:customStyle="1" w:styleId="38">
    <w:name w:val="TAL"/>
    <w:basedOn w:val="1"/>
    <w:link w:val="37"/>
    <w:qFormat/>
    <w:uiPriority w:val="0"/>
    <w:pPr>
      <w:keepNext/>
      <w:keepLines/>
      <w:overflowPunct w:val="0"/>
      <w:autoSpaceDE w:val="0"/>
      <w:autoSpaceDN w:val="0"/>
      <w:adjustRightInd w:val="0"/>
      <w:spacing w:after="0"/>
    </w:pPr>
    <w:rPr>
      <w:rFonts w:ascii="Arial" w:hAnsi="Arial" w:cs="Arial"/>
      <w:sz w:val="18"/>
      <w:szCs w:val="18"/>
      <w:lang w:eastAsia="ja-JP"/>
    </w:rPr>
  </w:style>
  <w:style w:type="paragraph" w:customStyle="1" w:styleId="39">
    <w:name w:val="TAH"/>
    <w:basedOn w:val="1"/>
    <w:link w:val="43"/>
    <w:qFormat/>
    <w:uiPriority w:val="0"/>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customStyle="1" w:styleId="40">
    <w:name w:val="TH Char"/>
    <w:link w:val="41"/>
    <w:qFormat/>
    <w:locked/>
    <w:uiPriority w:val="0"/>
    <w:rPr>
      <w:rFonts w:ascii="Arial" w:hAnsi="Arial" w:cs="Arial"/>
      <w:b/>
      <w:bCs/>
      <w:lang w:val="en-GB" w:eastAsia="ja-JP"/>
    </w:rPr>
  </w:style>
  <w:style w:type="paragraph" w:customStyle="1" w:styleId="41">
    <w:name w:val="TH"/>
    <w:basedOn w:val="1"/>
    <w:link w:val="40"/>
    <w:qFormat/>
    <w:uiPriority w:val="0"/>
    <w:pPr>
      <w:keepNext/>
      <w:keepLines/>
      <w:overflowPunct w:val="0"/>
      <w:autoSpaceDE w:val="0"/>
      <w:autoSpaceDN w:val="0"/>
      <w:adjustRightInd w:val="0"/>
      <w:spacing w:before="60"/>
      <w:jc w:val="center"/>
    </w:pPr>
    <w:rPr>
      <w:rFonts w:ascii="Arial" w:hAnsi="Arial" w:cs="Arial"/>
      <w:b/>
      <w:bCs/>
      <w:lang w:eastAsia="ja-JP"/>
    </w:rPr>
  </w:style>
  <w:style w:type="paragraph" w:customStyle="1" w:styleId="42">
    <w:name w:val="TAN"/>
    <w:basedOn w:val="38"/>
    <w:link w:val="44"/>
    <w:qFormat/>
    <w:uiPriority w:val="0"/>
    <w:pPr>
      <w:overflowPunct/>
      <w:autoSpaceDE/>
      <w:autoSpaceDN/>
      <w:adjustRightInd/>
      <w:ind w:left="851" w:hanging="851"/>
    </w:pPr>
    <w:rPr>
      <w:rFonts w:cs="Times New Roman"/>
      <w:szCs w:val="20"/>
      <w:lang w:eastAsia="en-US"/>
    </w:rPr>
  </w:style>
  <w:style w:type="character" w:customStyle="1" w:styleId="43">
    <w:name w:val="TAH Car"/>
    <w:link w:val="39"/>
    <w:qFormat/>
    <w:uiPriority w:val="0"/>
    <w:rPr>
      <w:rFonts w:ascii="Arial" w:hAnsi="Arial" w:eastAsia="Times New Roman" w:cs="Arial"/>
      <w:b/>
      <w:bCs/>
      <w:sz w:val="18"/>
      <w:szCs w:val="18"/>
      <w:lang w:val="en-GB" w:eastAsia="ja-JP"/>
    </w:rPr>
  </w:style>
  <w:style w:type="character" w:customStyle="1" w:styleId="44">
    <w:name w:val="TAN Char"/>
    <w:link w:val="42"/>
    <w:qFormat/>
    <w:uiPriority w:val="0"/>
    <w:rPr>
      <w:rFonts w:ascii="Arial" w:hAnsi="Arial" w:cs="Arial"/>
      <w:sz w:val="18"/>
      <w:szCs w:val="18"/>
      <w:lang w:val="en-GB" w:eastAsia="en-US"/>
    </w:rPr>
  </w:style>
  <w:style w:type="character" w:customStyle="1" w:styleId="45">
    <w:name w:val="Header Char"/>
    <w:link w:val="21"/>
    <w:qFormat/>
    <w:uiPriority w:val="99"/>
    <w:rPr>
      <w:rFonts w:ascii="Times New Roman" w:hAnsi="Times New Roman"/>
      <w:sz w:val="18"/>
      <w:szCs w:val="18"/>
      <w:lang w:val="en-GB" w:eastAsia="en-US"/>
    </w:rPr>
  </w:style>
  <w:style w:type="character" w:customStyle="1" w:styleId="46">
    <w:name w:val="Footer Char"/>
    <w:link w:val="20"/>
    <w:qFormat/>
    <w:uiPriority w:val="99"/>
    <w:rPr>
      <w:rFonts w:ascii="Times New Roman" w:hAnsi="Times New Roman"/>
      <w:sz w:val="18"/>
      <w:szCs w:val="18"/>
      <w:lang w:val="en-GB" w:eastAsia="en-US"/>
    </w:rPr>
  </w:style>
  <w:style w:type="character" w:customStyle="1" w:styleId="47">
    <w:name w:val="Date Char"/>
    <w:link w:val="18"/>
    <w:semiHidden/>
    <w:qFormat/>
    <w:uiPriority w:val="99"/>
    <w:rPr>
      <w:rFonts w:ascii="Times New Roman" w:hAnsi="Times New Roman"/>
      <w:lang w:val="en-GB" w:eastAsia="en-US"/>
    </w:rPr>
  </w:style>
  <w:style w:type="paragraph" w:styleId="48">
    <w:name w:val="List Paragraph"/>
    <w:basedOn w:val="1"/>
    <w:link w:val="50"/>
    <w:qFormat/>
    <w:uiPriority w:val="99"/>
    <w:pPr>
      <w:numPr>
        <w:ilvl w:val="1"/>
        <w:numId w:val="2"/>
      </w:numPr>
      <w:ind w:left="1080"/>
    </w:pPr>
    <w:rPr>
      <w:lang w:eastAsia="zh-CN"/>
    </w:rPr>
  </w:style>
  <w:style w:type="character" w:customStyle="1" w:styleId="49">
    <w:name w:val="texhtml"/>
    <w:basedOn w:val="11"/>
    <w:uiPriority w:val="0"/>
  </w:style>
  <w:style w:type="character" w:customStyle="1" w:styleId="50">
    <w:name w:val="List Paragraph Char"/>
    <w:link w:val="48"/>
    <w:qFormat/>
    <w:locked/>
    <w:uiPriority w:val="34"/>
    <w:rPr>
      <w:rFonts w:ascii="Times New Roman" w:hAnsi="Times New Roman"/>
      <w:sz w:val="22"/>
      <w:lang w:val="en-GB"/>
    </w:rPr>
  </w:style>
  <w:style w:type="table" w:customStyle="1" w:styleId="51">
    <w:name w:val="Table Grid1"/>
    <w:basedOn w:val="12"/>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Revision1"/>
    <w:hidden/>
    <w:semiHidden/>
    <w:qFormat/>
    <w:uiPriority w:val="99"/>
    <w:pPr>
      <w:spacing w:after="160" w:line="259" w:lineRule="auto"/>
    </w:pPr>
    <w:rPr>
      <w:rFonts w:ascii="Times New Roman" w:hAnsi="Times New Roman" w:eastAsia="SimSun" w:cs="Times New Roman"/>
      <w:lang w:val="en-GB" w:eastAsia="en-US" w:bidi="ar-SA"/>
    </w:rPr>
  </w:style>
  <w:style w:type="paragraph" w:customStyle="1" w:styleId="53">
    <w:name w:val="Revision2"/>
    <w:hidden/>
    <w:semiHidden/>
    <w:uiPriority w:val="99"/>
    <w:rPr>
      <w:rFonts w:ascii="Times New Roman" w:hAnsi="Times New Roman" w:eastAsia="SimSun" w:cs="Times New Roman"/>
      <w:lang w:val="en-GB" w:eastAsia="en-US" w:bidi="ar-SA"/>
    </w:rPr>
  </w:style>
  <w:style w:type="character" w:customStyle="1" w:styleId="54">
    <w:name w:val="Comment Text Char"/>
    <w:basedOn w:val="11"/>
    <w:link w:val="16"/>
    <w:semiHidden/>
    <w:uiPriority w:val="99"/>
    <w:rPr>
      <w:rFonts w:ascii="Times New Roman" w:hAnsi="Times New Roman"/>
      <w:lang w:val="en-GB" w:eastAsia="en-US"/>
    </w:rPr>
  </w:style>
  <w:style w:type="character" w:customStyle="1" w:styleId="55">
    <w:name w:val="Comment Subject Char"/>
    <w:basedOn w:val="54"/>
    <w:link w:val="17"/>
    <w:semiHidden/>
    <w:uiPriority w:val="99"/>
    <w:rPr>
      <w:rFonts w:ascii="Times New Roman" w:hAnsi="Times New Roman"/>
      <w:b/>
      <w:bCs/>
      <w:lang w:val="en-GB" w:eastAsia="en-US"/>
    </w:rPr>
  </w:style>
  <w:style w:type="paragraph" w:customStyle="1" w:styleId="56">
    <w:name w:val="proposal"/>
    <w:basedOn w:val="1"/>
    <w:qFormat/>
    <w:uiPriority w:val="0"/>
    <w:pPr>
      <w:numPr>
        <w:ilvl w:val="0"/>
        <w:numId w:val="3"/>
      </w:numPr>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3</Pages>
  <Words>980</Words>
  <Characters>5588</Characters>
  <Lines>46</Lines>
  <Paragraphs>13</Paragraphs>
  <TotalTime>110</TotalTime>
  <ScaleCrop>false</ScaleCrop>
  <LinksUpToDate>false</LinksUpToDate>
  <CharactersWithSpaces>6555</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2023-01-25T14:54:00Z</dcterms:created>
  <dc:creator>Dai Xizeng</dc:creator>
  <cp:lastModifiedBy>Deep [E///]</cp:lastModifiedBy>
  <dcterms:modified xsi:type="dcterms:W3CDTF">2024-08-09T17:19:05Z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